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07.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64"/>
        <w:gridCol w:w="1743"/>
        <w:tblGridChange w:id="0">
          <w:tblGrid>
            <w:gridCol w:w="7664"/>
            <w:gridCol w:w="174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COTIA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COTIA / SÃO PAULO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9">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p6xvqx2su0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_hp6xvqx2su07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fuhf4sp7g3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_hfuhf4sp7g3x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b6vjng36oy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_nb6vjng36oym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7"/>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Cotia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Rotary, 175, Jardim Nomura, Cotia – SP, CEP: 06717-090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w:t>
            </w:r>
            <w:r w:rsidDel="00000000" w:rsidR="00000000" w:rsidRPr="00000000">
              <w:rPr>
                <w:rFonts w:ascii="Arial" w:cs="Arial" w:eastAsia="Arial" w:hAnsi="Arial"/>
                <w:sz w:val="22"/>
                <w:szCs w:val="22"/>
                <w:rtl w:val="0"/>
              </w:rPr>
              <w:t xml:space="preserve">às 20h00</w:t>
            </w:r>
            <w:r w:rsidDel="00000000" w:rsidR="00000000" w:rsidRPr="00000000">
              <w:rPr>
                <w:rtl w:val="0"/>
              </w:rPr>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34</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w:t>
            </w:r>
            <w:r w:rsidDel="00000000" w:rsidR="00000000" w:rsidRPr="00000000">
              <w:rPr>
                <w:rFonts w:ascii="Arial" w:cs="Arial" w:eastAsia="Arial" w:hAnsi="Arial"/>
                <w:b w:val="1"/>
                <w:i w:val="1"/>
                <w:sz w:val="18"/>
                <w:szCs w:val="18"/>
                <w:rtl w:val="0"/>
              </w:rPr>
              <w:t xml:space="preserve">informado</w:t>
            </w:r>
            <w:r w:rsidDel="00000000" w:rsidR="00000000" w:rsidRPr="00000000">
              <w:rPr>
                <w:rFonts w:ascii="Arial" w:cs="Arial" w:eastAsia="Arial" w:hAnsi="Arial"/>
                <w:b w:val="1"/>
                <w:i w:val="1"/>
                <w:sz w:val="18"/>
                <w:szCs w:val="18"/>
                <w:rtl w:val="0"/>
              </w:rPr>
              <w:t xml:space="preserve"> poderá sofrer alteração em virtude de reestruturações propostas por este Regional </w:t>
            </w:r>
            <w:r w:rsidDel="00000000" w:rsidR="00000000" w:rsidRPr="00000000">
              <w:rPr>
                <w:rFonts w:ascii="Arial" w:cs="Arial" w:eastAsia="Arial" w:hAnsi="Arial"/>
                <w:i w:val="0"/>
                <w:sz w:val="18"/>
                <w:szCs w:val="18"/>
                <w:rtl w:val="0"/>
              </w:rPr>
              <w:t xml:space="preserve">.</w:t>
            </w:r>
            <w:r w:rsidDel="00000000" w:rsidR="00000000" w:rsidRPr="00000000">
              <w:rPr>
                <w:rtl w:val="0"/>
              </w:rPr>
            </w:r>
          </w:p>
        </w:tc>
      </w:tr>
    </w:tbl>
    <w:p w:rsidR="00000000" w:rsidDel="00000000" w:rsidP="00000000" w:rsidRDefault="00000000" w:rsidRPr="00000000" w14:paraId="00000053">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numPr>
          <w:ilvl w:val="0"/>
          <w:numId w:val="7"/>
        </w:numPr>
        <w:ind w:left="432" w:hanging="432"/>
        <w:rPr>
          <w:sz w:val="22"/>
          <w:szCs w:val="22"/>
        </w:rPr>
      </w:pPr>
      <w:bookmarkStart w:colFirst="0" w:colLast="0" w:name="_hp6xvqx2su07" w:id="1"/>
      <w:bookmarkEnd w:id="1"/>
      <w:r w:rsidDel="00000000" w:rsidR="00000000" w:rsidRPr="00000000">
        <w:rPr>
          <w:sz w:val="22"/>
          <w:szCs w:val="22"/>
          <w:rtl w:val="0"/>
        </w:rPr>
        <w:t xml:space="preserve">2 MISSÃO, VISÃO E VALORES </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7"/>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7"/>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7"/>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1"/>
        <w:numPr>
          <w:ilvl w:val="0"/>
          <w:numId w:val="7"/>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5">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6">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7">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8">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9">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w:t>
      </w:r>
      <w:r w:rsidDel="00000000" w:rsidR="00000000" w:rsidRPr="00000000">
        <w:rPr>
          <w:rFonts w:ascii="Arial" w:cs="Arial" w:eastAsia="Arial" w:hAnsi="Arial"/>
          <w:color w:val="000000"/>
          <w:sz w:val="22"/>
          <w:szCs w:val="22"/>
          <w:rtl w:val="0"/>
        </w:rPr>
        <w:t xml:space="preserve">realizad</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 após as mudanças implantadas.</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pStyle w:val="Heading1"/>
        <w:numPr>
          <w:ilvl w:val="0"/>
          <w:numId w:val="7"/>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pStyle w:val="Heading2"/>
        <w:numPr>
          <w:ilvl w:val="1"/>
          <w:numId w:val="7"/>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1">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2">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3">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5">
      <w:pPr>
        <w:pStyle w:val="Heading2"/>
        <w:numPr>
          <w:ilvl w:val="1"/>
          <w:numId w:val="7"/>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9">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A">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B">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C">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D">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pStyle w:val="Heading2"/>
        <w:ind w:left="1080" w:firstLine="0"/>
        <w:rPr>
          <w:sz w:val="22"/>
          <w:szCs w:val="22"/>
        </w:rPr>
      </w:pPr>
      <w:bookmarkStart w:colFirst="0" w:colLast="0" w:name="_2s8eyo1" w:id="9"/>
      <w:bookmarkEnd w:id="9"/>
      <w:r w:rsidDel="00000000" w:rsidR="00000000" w:rsidRPr="00000000">
        <w:rPr>
          <w:b w:val="0"/>
          <w:sz w:val="22"/>
          <w:szCs w:val="22"/>
          <w:rtl w:val="0"/>
        </w:rPr>
        <w:tab/>
      </w:r>
      <w:r w:rsidDel="00000000" w:rsidR="00000000" w:rsidRPr="00000000">
        <w:rPr>
          <w:sz w:val="22"/>
          <w:szCs w:val="22"/>
          <w:rtl w:val="0"/>
        </w:rPr>
        <w:t xml:space="preserve">4.3 EXAME DE MUDANÇA DE FUNÇÃO</w:t>
      </w:r>
    </w:p>
    <w:p w:rsidR="00000000" w:rsidDel="00000000" w:rsidP="00000000" w:rsidRDefault="00000000" w:rsidRPr="00000000" w14:paraId="00000080">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1">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Os objetivos são:</w:t>
      </w:r>
    </w:p>
    <w:p w:rsidR="00000000" w:rsidDel="00000000" w:rsidP="00000000" w:rsidRDefault="00000000" w:rsidRPr="00000000" w14:paraId="00000082">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3">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Orientar o trabalhador sobre os novos riscos a que estará exposto.</w:t>
      </w:r>
    </w:p>
    <w:p w:rsidR="00000000" w:rsidDel="00000000" w:rsidP="00000000" w:rsidRDefault="00000000" w:rsidRPr="00000000" w14:paraId="00000084">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85">
      <w:pPr>
        <w:pStyle w:val="Heading2"/>
        <w:ind w:left="1080" w:firstLine="0"/>
        <w:rPr>
          <w:sz w:val="22"/>
          <w:szCs w:val="22"/>
        </w:rPr>
      </w:pPr>
      <w:bookmarkStart w:colFirst="0" w:colLast="0" w:name="_17dp8vu"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6">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7">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8">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pStyle w:val="Heading2"/>
        <w:ind w:left="1080" w:firstLine="0"/>
        <w:rPr>
          <w:sz w:val="22"/>
          <w:szCs w:val="22"/>
        </w:rPr>
      </w:pPr>
      <w:bookmarkStart w:colFirst="0" w:colLast="0" w:name="_3rdcrjn" w:id="11"/>
      <w:bookmarkEnd w:id="11"/>
      <w:r w:rsidDel="00000000" w:rsidR="00000000" w:rsidRPr="00000000">
        <w:rPr>
          <w:b w:val="0"/>
          <w:sz w:val="22"/>
          <w:szCs w:val="22"/>
          <w:rtl w:val="0"/>
        </w:rPr>
        <w:tab/>
      </w:r>
      <w:r w:rsidDel="00000000" w:rsidR="00000000" w:rsidRPr="00000000">
        <w:rPr>
          <w:sz w:val="22"/>
          <w:szCs w:val="22"/>
          <w:rtl w:val="0"/>
        </w:rPr>
        <w:t xml:space="preserve">4.5 EXAME DEMISSIONAL</w:t>
      </w:r>
    </w:p>
    <w:p w:rsidR="00000000" w:rsidDel="00000000" w:rsidP="00000000" w:rsidRDefault="00000000" w:rsidRPr="00000000" w14:paraId="0000008A">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B">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8C">
      <w:pPr>
        <w:pStyle w:val="Heading2"/>
        <w:ind w:left="1080" w:firstLine="0"/>
        <w:rPr>
          <w:sz w:val="22"/>
          <w:szCs w:val="22"/>
        </w:rPr>
      </w:pPr>
      <w:bookmarkStart w:colFirst="0" w:colLast="0" w:name="_26in1rg"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D">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E">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pStyle w:val="Heading2"/>
        <w:ind w:left="1080" w:firstLine="0"/>
        <w:rPr>
          <w:sz w:val="22"/>
          <w:szCs w:val="22"/>
        </w:rPr>
      </w:pPr>
      <w:bookmarkStart w:colFirst="0" w:colLast="0" w:name="_lnxbz9"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0">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1">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pStyle w:val="Heading2"/>
        <w:ind w:left="1080" w:firstLine="0"/>
        <w:rPr>
          <w:sz w:val="22"/>
          <w:szCs w:val="22"/>
        </w:rPr>
      </w:pPr>
      <w:bookmarkStart w:colFirst="0" w:colLast="0" w:name="_35nkun2"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3">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Os dados obtidos nos exames médicos, incluindo a avaliação clínica, os exames complementares ocupacionais e as conclusões, devem ser registrados no Prontuário Médico e resguardados pelo sigilo médico, sendo o Médico do Trabalho Coordenador seu guardião.</w:t>
      </w:r>
    </w:p>
    <w:p w:rsidR="00000000" w:rsidDel="00000000" w:rsidP="00000000" w:rsidRDefault="00000000" w:rsidRPr="00000000" w14:paraId="00000094">
      <w:pPr>
        <w:pStyle w:val="Heading2"/>
        <w:ind w:left="1080" w:firstLine="0"/>
        <w:rPr>
          <w:sz w:val="22"/>
          <w:szCs w:val="22"/>
        </w:rPr>
      </w:pPr>
      <w:bookmarkStart w:colFirst="0" w:colLast="0" w:name="_1ksv4uv"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5">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Para cada exame médico realizado, será emitido o Atestado de Saúde Ocupacional – ASO, que segue a recomendação da NR-7 do Ministério do Trabalho, a qual se refere à resolução 141 do CSJT.</w:t>
      </w:r>
    </w:p>
    <w:p w:rsidR="00000000" w:rsidDel="00000000" w:rsidP="00000000" w:rsidRDefault="00000000" w:rsidRPr="00000000" w14:paraId="00000096">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sz w:val="22"/>
          <w:szCs w:val="22"/>
          <w:rtl w:val="0"/>
        </w:rPr>
        <w:t xml:space="preserve">No </w:t>
      </w:r>
      <w:r w:rsidDel="00000000" w:rsidR="00000000" w:rsidRPr="00000000">
        <w:rPr>
          <w:rFonts w:ascii="Arial" w:cs="Arial" w:eastAsia="Arial" w:hAnsi="Arial"/>
          <w:sz w:val="22"/>
          <w:szCs w:val="22"/>
          <w:rtl w:val="0"/>
        </w:rPr>
        <w:t xml:space="preserve">ASO</w:t>
      </w:r>
      <w:r w:rsidDel="00000000" w:rsidR="00000000" w:rsidRPr="00000000">
        <w:rPr>
          <w:rFonts w:ascii="Arial" w:cs="Arial" w:eastAsia="Arial" w:hAnsi="Arial"/>
          <w:sz w:val="22"/>
          <w:szCs w:val="22"/>
          <w:rtl w:val="0"/>
        </w:rPr>
        <w:t xml:space="preserve"> devem constar: </w:t>
      </w:r>
    </w:p>
    <w:p w:rsidR="00000000" w:rsidDel="00000000" w:rsidP="00000000" w:rsidRDefault="00000000" w:rsidRPr="00000000" w14:paraId="00000097">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Nome completo do trabalhador, número do registro de sua identidade e sua função;</w:t>
      </w:r>
    </w:p>
    <w:p w:rsidR="00000000" w:rsidDel="00000000" w:rsidP="00000000" w:rsidRDefault="00000000" w:rsidRPr="00000000" w14:paraId="00000098">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9">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Definição de apto ou inapto para a função;</w:t>
      </w:r>
    </w:p>
    <w:p w:rsidR="00000000" w:rsidDel="00000000" w:rsidP="00000000" w:rsidRDefault="00000000" w:rsidRPr="00000000" w14:paraId="0000009A">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Nome do médico do trabalho executor do exame e endereço, ou forma de contato com o mesmo;</w:t>
      </w:r>
    </w:p>
    <w:p w:rsidR="00000000" w:rsidDel="00000000" w:rsidP="00000000" w:rsidRDefault="00000000" w:rsidRPr="00000000" w14:paraId="0000009B">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C">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D">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pStyle w:val="Heading1"/>
        <w:ind w:left="720" w:firstLine="0"/>
        <w:rPr>
          <w:sz w:val="22"/>
          <w:szCs w:val="22"/>
        </w:rPr>
      </w:pPr>
      <w:bookmarkStart w:colFirst="0" w:colLast="0" w:name="_44sinio"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0">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Style w:val="Heading2"/>
        <w:ind w:left="1080" w:firstLine="0"/>
        <w:rPr>
          <w:sz w:val="22"/>
          <w:szCs w:val="22"/>
        </w:rPr>
      </w:pPr>
      <w:bookmarkStart w:colFirst="0" w:colLast="0" w:name="_2jxsxqh" w:id="17"/>
      <w:bookmarkEnd w:id="17"/>
      <w:r w:rsidDel="00000000" w:rsidR="00000000" w:rsidRPr="00000000">
        <w:rPr>
          <w:sz w:val="22"/>
          <w:szCs w:val="22"/>
          <w:rtl w:val="0"/>
        </w:rPr>
        <w:tab/>
        <w:t xml:space="preserve">5.1 TRT 2ª REGIÃO</w:t>
      </w:r>
    </w:p>
    <w:p w:rsidR="00000000" w:rsidDel="00000000" w:rsidP="00000000" w:rsidRDefault="00000000" w:rsidRPr="00000000" w14:paraId="000000A2">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Garantir a elaboração, implantação e gestão do PCMSO, bem como zelar pela sua eficácia;</w:t>
      </w:r>
    </w:p>
    <w:p w:rsidR="00000000" w:rsidDel="00000000" w:rsidP="00000000" w:rsidRDefault="00000000" w:rsidRPr="00000000" w14:paraId="000000A3">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Custear sem ônus para o servidor, todos os procedimentos relacionados ao PCMSO;</w:t>
      </w:r>
    </w:p>
    <w:p w:rsidR="00000000" w:rsidDel="00000000" w:rsidP="00000000" w:rsidRDefault="00000000" w:rsidRPr="00000000" w14:paraId="000000A4">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5">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Indicar médico coordenador responsável pela execução do PCMSO.</w:t>
      </w:r>
    </w:p>
    <w:p w:rsidR="00000000" w:rsidDel="00000000" w:rsidP="00000000" w:rsidRDefault="00000000" w:rsidRPr="00000000" w14:paraId="000000A6">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Style w:val="Heading2"/>
        <w:ind w:left="1080" w:firstLine="0"/>
        <w:rPr>
          <w:sz w:val="22"/>
          <w:szCs w:val="22"/>
        </w:rPr>
      </w:pPr>
      <w:bookmarkStart w:colFirst="0" w:colLast="0" w:name="_z337ya"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8">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Coordenar o PCMSO visando à promoção e preservação da saúde dos servidores e magistrados;</w:t>
      </w:r>
    </w:p>
    <w:p w:rsidR="00000000" w:rsidDel="00000000" w:rsidP="00000000" w:rsidRDefault="00000000" w:rsidRPr="00000000" w14:paraId="000000A9">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Realizar os exames médicos previstos no PCMSO;</w:t>
      </w:r>
    </w:p>
    <w:p w:rsidR="00000000" w:rsidDel="00000000" w:rsidP="00000000" w:rsidRDefault="00000000" w:rsidRPr="00000000" w14:paraId="000000AA">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B">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Planejar, analisar, controlar e acompanhar o desenvolvimento do PCMSO;</w:t>
      </w:r>
    </w:p>
    <w:p w:rsidR="00000000" w:rsidDel="00000000" w:rsidP="00000000" w:rsidRDefault="00000000" w:rsidRPr="00000000" w14:paraId="000000AC">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medidas preventivas e corretivas relacionadas à saúde dos colaboradores;</w:t>
      </w:r>
    </w:p>
    <w:p w:rsidR="00000000" w:rsidDel="00000000" w:rsidP="00000000" w:rsidRDefault="00000000" w:rsidRPr="00000000" w14:paraId="000000AD">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Manter sigilo profissional em obediência à Ética Médica.</w:t>
      </w:r>
    </w:p>
    <w:p w:rsidR="00000000" w:rsidDel="00000000" w:rsidP="00000000" w:rsidRDefault="00000000" w:rsidRPr="00000000" w14:paraId="000000AE">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Style w:val="Heading2"/>
        <w:ind w:left="1080" w:firstLine="0"/>
        <w:rPr>
          <w:sz w:val="22"/>
          <w:szCs w:val="22"/>
        </w:rPr>
      </w:pPr>
      <w:bookmarkStart w:colFirst="0" w:colLast="0" w:name="_3j2qqm3"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0">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Médico designado para executar os exames previstos no PCMSO. Recebe instruções do Médico Coordenador;</w:t>
      </w:r>
    </w:p>
    <w:p w:rsidR="00000000" w:rsidDel="00000000" w:rsidP="00000000" w:rsidRDefault="00000000" w:rsidRPr="00000000" w14:paraId="000000B1">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2">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Guardar o sigilo, seguindo os preceitos da Ética Médica.</w:t>
      </w:r>
    </w:p>
    <w:p w:rsidR="00000000" w:rsidDel="00000000" w:rsidP="00000000" w:rsidRDefault="00000000" w:rsidRPr="00000000" w14:paraId="000000B3">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pStyle w:val="Heading2"/>
        <w:ind w:left="1080" w:firstLine="0"/>
        <w:rPr>
          <w:sz w:val="22"/>
          <w:szCs w:val="22"/>
        </w:rPr>
      </w:pPr>
      <w:bookmarkStart w:colFirst="0" w:colLast="0" w:name="_1y810tw"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5">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6">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pStyle w:val="Heading1"/>
        <w:ind w:left="720" w:firstLine="0"/>
        <w:rPr>
          <w:sz w:val="22"/>
          <w:szCs w:val="22"/>
        </w:rPr>
      </w:pPr>
      <w:bookmarkStart w:colFirst="0" w:colLast="0" w:name="_hfuhf4sp7g3x" w:id="21"/>
      <w:bookmarkEnd w:id="21"/>
      <w:r w:rsidDel="00000000" w:rsidR="00000000" w:rsidRPr="00000000">
        <w:rPr>
          <w:sz w:val="22"/>
          <w:szCs w:val="22"/>
          <w:rtl w:val="0"/>
        </w:rPr>
        <w:t xml:space="preserve">6 PRIMEIROS SOCORROS</w:t>
      </w:r>
    </w:p>
    <w:p w:rsidR="00000000" w:rsidDel="00000000" w:rsidP="00000000" w:rsidRDefault="00000000" w:rsidRPr="00000000" w14:paraId="000000B9">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Cada setor deverá estar equipado com material necessário à prestação de Primeiros Socorros sob a guarda de pessoa treinada para ministrar os primeiros cuidados em caso de doença ou acidente. Tais cuidados não devem substituir ou retardar o atendimento médico. </w:t>
      </w:r>
    </w:p>
    <w:p w:rsidR="00000000" w:rsidDel="00000000" w:rsidP="00000000" w:rsidRDefault="00000000" w:rsidRPr="00000000" w14:paraId="000000BA">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B">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ab/>
      </w:r>
      <w:r w:rsidDel="00000000" w:rsidR="00000000" w:rsidRPr="00000000">
        <w:rPr>
          <w:rFonts w:ascii="Arial" w:cs="Arial" w:eastAsia="Arial" w:hAnsi="Arial"/>
          <w:sz w:val="22"/>
          <w:szCs w:val="22"/>
          <w:rtl w:val="0"/>
        </w:rPr>
        <w:t xml:space="preserve">Será designado um responsável pela prestação de primeiros socorros, preferencialmente brigadista, que terá treinamento em atendimento de primeiros socorros, resgate e ressuscitação cardiorrespiratória.</w:t>
      </w:r>
    </w:p>
    <w:p w:rsidR="00000000" w:rsidDel="00000000" w:rsidP="00000000" w:rsidRDefault="00000000" w:rsidRPr="00000000" w14:paraId="000000BC">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Style w:val="Heading1"/>
        <w:ind w:left="720" w:firstLine="0"/>
        <w:rPr>
          <w:sz w:val="22"/>
          <w:szCs w:val="22"/>
        </w:rPr>
      </w:pPr>
      <w:bookmarkStart w:colFirst="0" w:colLast="0" w:name="_nb6vjng36oym" w:id="22"/>
      <w:bookmarkEnd w:id="22"/>
      <w:r w:rsidDel="00000000" w:rsidR="00000000" w:rsidRPr="00000000">
        <w:rPr>
          <w:sz w:val="22"/>
          <w:szCs w:val="22"/>
          <w:rtl w:val="0"/>
        </w:rPr>
        <w:t xml:space="preserve">7 VACINAÇÃO</w:t>
      </w:r>
    </w:p>
    <w:p w:rsidR="00000000" w:rsidDel="00000000" w:rsidP="00000000" w:rsidRDefault="00000000" w:rsidRPr="00000000" w14:paraId="000000BE">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BF">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São obrigatórias as vacinas:</w:t>
      </w:r>
    </w:p>
    <w:p w:rsidR="00000000" w:rsidDel="00000000" w:rsidP="00000000" w:rsidRDefault="00000000" w:rsidRPr="00000000" w14:paraId="000000C0">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Dupla adulto – Difteria e Tétano (dT): Com reforço a cada dez anos;</w:t>
      </w:r>
    </w:p>
    <w:p w:rsidR="00000000" w:rsidDel="00000000" w:rsidP="00000000" w:rsidRDefault="00000000" w:rsidRPr="00000000" w14:paraId="000000C1">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2">
      <w:pPr>
        <w:numPr>
          <w:ilvl w:val="0"/>
          <w:numId w:val="5"/>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Influenza: Recomendada anualmente para profissionais de saúde;</w:t>
      </w:r>
    </w:p>
    <w:p w:rsidR="00000000" w:rsidDel="00000000" w:rsidP="00000000" w:rsidRDefault="00000000" w:rsidRPr="00000000" w14:paraId="000000C3">
      <w:pPr>
        <w:numPr>
          <w:ilvl w:val="0"/>
          <w:numId w:val="1"/>
        </w:numPr>
        <w:spacing w:after="57" w:before="57" w:line="360" w:lineRule="auto"/>
        <w:ind w:left="737"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4">
      <w:pPr>
        <w:spacing w:after="57" w:before="57" w:line="360" w:lineRule="auto"/>
        <w:ind w:left="737"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6">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A">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C">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CE">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sz w:val="22"/>
            <w:szCs w:val="22"/>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4">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6">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7">
      <w:pPr>
        <w:spacing w:after="57" w:before="57" w:line="360" w:lineRule="auto"/>
        <w:ind w:left="0" w:right="0" w:firstLine="0"/>
        <w:jc w:val="both"/>
        <w:rPr>
          <w:rFonts w:ascii="Arial" w:cs="Arial" w:eastAsia="Arial" w:hAnsi="Arial"/>
          <w:i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1"/>
        <w:numPr>
          <w:ilvl w:val="0"/>
          <w:numId w:val="7"/>
        </w:numPr>
        <w:ind w:left="432" w:hanging="432"/>
        <w:rPr>
          <w:sz w:val="22"/>
          <w:szCs w:val="22"/>
        </w:rPr>
      </w:pPr>
      <w:bookmarkStart w:colFirst="0" w:colLast="0" w:name="_4i7ojhp" w:id="26"/>
      <w:bookmarkEnd w:id="26"/>
      <w:r w:rsidDel="00000000" w:rsidR="00000000" w:rsidRPr="00000000">
        <w:rPr>
          <w:sz w:val="22"/>
          <w:szCs w:val="22"/>
          <w:rtl w:val="0"/>
        </w:rPr>
        <w:t xml:space="preserve">ANEXO I – TABELAS DE RISCOS: </w:t>
      </w:r>
      <w:r w:rsidDel="00000000" w:rsidR="00000000" w:rsidRPr="00000000">
        <w:rPr>
          <w:rtl w:val="0"/>
        </w:rPr>
      </w:r>
    </w:p>
    <w:p w:rsidR="00000000" w:rsidDel="00000000" w:rsidP="00000000" w:rsidRDefault="00000000" w:rsidRPr="00000000" w14:paraId="000000D9">
      <w:pPr>
        <w:spacing w:line="360" w:lineRule="auto"/>
        <w:jc w:val="both"/>
        <w:rPr>
          <w:rFonts w:ascii="Arial" w:cs="Arial" w:eastAsia="Arial" w:hAnsi="Arial"/>
          <w:b w:val="1"/>
          <w:sz w:val="22"/>
          <w:szCs w:val="22"/>
        </w:rPr>
      </w:pPr>
      <w:r w:rsidDel="00000000" w:rsidR="00000000" w:rsidRPr="00000000">
        <w:rPr>
          <w:rtl w:val="0"/>
        </w:rPr>
      </w:r>
    </w:p>
    <w:tbl>
      <w:tblPr>
        <w:tblStyle w:val="Table4"/>
        <w:tblW w:w="972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086"/>
        <w:tblGridChange w:id="0">
          <w:tblGrid>
            <w:gridCol w:w="1642"/>
            <w:gridCol w:w="808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DE COTIA (1ª e 2ª)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serão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spacing w:line="360" w:lineRule="auto"/>
        <w:jc w:val="both"/>
        <w:rPr>
          <w:rFonts w:ascii="Arial" w:cs="Arial" w:eastAsia="Arial" w:hAnsi="Arial"/>
          <w:sz w:val="22"/>
          <w:szCs w:val="22"/>
        </w:rPr>
      </w:pPr>
      <w:r w:rsidDel="00000000" w:rsidR="00000000" w:rsidRPr="00000000">
        <w:rPr>
          <w:rtl w:val="0"/>
        </w:rPr>
      </w:r>
    </w:p>
    <w:tbl>
      <w:tblPr>
        <w:tblStyle w:val="Table5"/>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345"/>
        <w:gridCol w:w="1815"/>
        <w:gridCol w:w="1470"/>
        <w:tblGridChange w:id="0">
          <w:tblGrid>
            <w:gridCol w:w="6345"/>
            <w:gridCol w:w="1815"/>
            <w:gridCol w:w="147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w:t>
            </w:r>
            <w:r w:rsidDel="00000000" w:rsidR="00000000" w:rsidRPr="00000000">
              <w:rPr>
                <w:rFonts w:ascii="Arial" w:cs="Arial" w:eastAsia="Arial" w:hAnsi="Arial"/>
                <w:sz w:val="22"/>
                <w:szCs w:val="22"/>
                <w:rtl w:val="0"/>
              </w:rPr>
              <w:t xml:space="preserve">9º, § 4º</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 5º).</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w:t>
            </w:r>
            <w:r w:rsidDel="00000000" w:rsidR="00000000" w:rsidRPr="00000000">
              <w:rPr>
                <w:rFonts w:ascii="Arial" w:cs="Arial" w:eastAsia="Arial" w:hAnsi="Arial"/>
                <w:sz w:val="22"/>
                <w:szCs w:val="22"/>
                <w:rtl w:val="0"/>
              </w:rPr>
              <w:t xml:space="preserve">Observe-se que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 rotineiras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SESMT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por mensagem eletrônica, telefone e também pessoalmente, por ocasião da realização do exame periódico com prévio agendamento.</w:t>
            </w:r>
          </w:p>
        </w:tc>
      </w:tr>
    </w:tbl>
    <w:p w:rsidR="00000000" w:rsidDel="00000000" w:rsidP="00000000" w:rsidRDefault="00000000" w:rsidRPr="00000000" w14:paraId="00000106">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7">
      <w:pPr>
        <w:pStyle w:val="Heading1"/>
        <w:numPr>
          <w:ilvl w:val="0"/>
          <w:numId w:val="7"/>
        </w:numPr>
        <w:ind w:left="432" w:hanging="432"/>
        <w:rPr>
          <w:sz w:val="22"/>
          <w:szCs w:val="22"/>
        </w:rPr>
      </w:pPr>
      <w:bookmarkStart w:colFirst="0" w:colLast="0" w:name="_2xcytpi" w:id="27"/>
      <w:bookmarkEnd w:id="27"/>
      <w:r w:rsidDel="00000000" w:rsidR="00000000" w:rsidRPr="00000000">
        <w:rPr>
          <w:smallCaps w:val="0"/>
          <w:color w:val="000000"/>
          <w:sz w:val="22"/>
          <w:szCs w:val="22"/>
          <w:highlight w:val="white"/>
          <w:rtl w:val="0"/>
        </w:rPr>
        <w:t xml:space="preserve">ANEXO II - ALTERAÇÕES NA ESTRUTURA ORGANIZACIONAL</w:t>
      </w:r>
      <w:r w:rsidDel="00000000" w:rsidR="00000000" w:rsidRPr="00000000">
        <w:rPr>
          <w:rtl w:val="0"/>
        </w:rPr>
      </w:r>
    </w:p>
    <w:p w:rsidR="00000000" w:rsidDel="00000000" w:rsidP="00000000" w:rsidRDefault="00000000" w:rsidRPr="00000000" w14:paraId="00000108">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tbl>
      <w:tblPr>
        <w:tblStyle w:val="Table6"/>
        <w:tblW w:w="966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2"/>
        <w:tblGridChange w:id="0">
          <w:tblGrid>
            <w:gridCol w:w="2878"/>
            <w:gridCol w:w="3828"/>
            <w:gridCol w:w="296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highlight w:val="white"/>
                <w:u w:val="none"/>
                <w:vertAlign w:val="baseline"/>
              </w:rPr>
            </w:pP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Posto de Serviços de Cotia da Unidade de Apoio Operacional de Osasco e Região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highlight w:val="white"/>
                <w:u w:val="none"/>
                <w:vertAlign w:val="baseline"/>
              </w:rPr>
            </w:pP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Térreo (Antigo Posto Avançado de Cotia -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highlight w:val="white"/>
                <w:u w:val="none"/>
                <w:vertAlign w:val="baseline"/>
              </w:rPr>
            </w:pP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Não realizada¹</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highlight w:val="white"/>
                <w:u w:val="none"/>
                <w:vertAlign w:val="baseline"/>
              </w:rPr>
            </w:pP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Seção de Polícia Institucional</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highlight w:val="white"/>
                <w:u w:val="none"/>
                <w:vertAlign w:val="baseline"/>
              </w:rPr>
            </w:pP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Térreo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highlight w:val="white"/>
                <w:u w:val="none"/>
                <w:vertAlign w:val="baseline"/>
              </w:rPr>
            </w:pP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Não realizada²</w:t>
            </w:r>
          </w:p>
        </w:tc>
      </w:tr>
      <w:tr>
        <w:trPr>
          <w:cantSplit w:val="0"/>
          <w:tblHeader w:val="0"/>
        </w:trPr>
        <w:tc>
          <w:tcPr>
            <w:gridSpan w:val="3"/>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¹</w:t>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 Alteração ocorrida após as avaliações ambientais efetuadas pela empresa Enfemed em Junho/2015. </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highlight w:val="white"/>
                <w:u w:val="none"/>
                <w:vertAlign w:val="baseline"/>
              </w:rPr>
            </w:pP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² Seção</w:t>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 criada após as avaliações ambientais efetuadas pela empresa Enfemed em Junho/2015. </w:t>
            </w:r>
          </w:p>
        </w:tc>
      </w:tr>
    </w:tb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7"/>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85"/>
        <w:tblGridChange w:id="0">
          <w:tblGrid>
            <w:gridCol w:w="97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1A">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1B">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1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2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2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2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2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F">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3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3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3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39">
      <w:pPr>
        <w:spacing w:line="360" w:lineRule="auto"/>
        <w:jc w:val="both"/>
        <w:rPr>
          <w:rFonts w:ascii="Arial" w:cs="Arial" w:eastAsia="Arial" w:hAnsi="Arial"/>
          <w:b w:val="1"/>
          <w:color w:val="ff3333"/>
          <w:sz w:val="22"/>
          <w:szCs w:val="22"/>
        </w:rPr>
      </w:pPr>
      <w:r w:rsidDel="00000000" w:rsidR="00000000" w:rsidRPr="00000000">
        <w:rPr>
          <w:rtl w:val="0"/>
        </w:rPr>
      </w:r>
    </w:p>
    <w:p w:rsidR="00000000" w:rsidDel="00000000" w:rsidP="00000000" w:rsidRDefault="00000000" w:rsidRPr="00000000" w14:paraId="0000013A">
      <w:pPr>
        <w:widowControl w:val="1"/>
        <w:spacing w:after="0" w:before="0" w:line="240" w:lineRule="auto"/>
        <w:jc w:val="center"/>
        <w:rPr>
          <w:rFonts w:ascii="Arial" w:cs="Arial" w:eastAsia="Arial" w:hAnsi="Arial"/>
          <w:b w:val="1"/>
          <w:color w:val="ff3333"/>
          <w:sz w:val="22"/>
          <w:szCs w:val="22"/>
        </w:rPr>
      </w:pPr>
      <w:r w:rsidDel="00000000" w:rsidR="00000000" w:rsidRPr="00000000">
        <w:rPr>
          <w:rtl w:val="0"/>
        </w:rPr>
      </w:r>
    </w:p>
    <w:p w:rsidR="00000000" w:rsidDel="00000000" w:rsidP="00000000" w:rsidRDefault="00000000" w:rsidRPr="00000000" w14:paraId="0000013B">
      <w:pPr>
        <w:widowControl w:val="1"/>
        <w:spacing w:after="0" w:before="0" w:line="240" w:lineRule="auto"/>
        <w:jc w:val="center"/>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1" name=""/>
              <a:graphic>
                <a:graphicData uri="http://schemas.microsoft.com/office/word/2010/wordprocessingShape">
                  <wps:wsp>
                    <wps:cNvSpPr/>
                    <wps:cNvPr id="2" name="Shape 2"/>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18863</wp:posOffset>
              </wp:positionV>
              <wp:extent cx="12700" cy="572135"/>
              <wp:effectExtent b="0" l="0" r="0" t="0"/>
              <wp:wrapNone/>
              <wp:docPr id="4"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18863</wp:posOffset>
              </wp:positionV>
              <wp:extent cx="12700" cy="572135"/>
              <wp:effectExtent b="0" l="0" r="0" t="0"/>
              <wp:wrapNone/>
              <wp:docPr id="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7"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Arial" w:cs="Arial" w:eastAsia="Arial" w:hAnsi="Arial"/>
        <w:b w:val="1"/>
        <w:sz w:val="22"/>
        <w:szCs w:val="22"/>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54">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55">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56">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1">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4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44">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A">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B">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4C">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4D">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37" w:hanging="360"/>
      </w:pPr>
      <w:rPr/>
    </w:lvl>
    <w:lvl w:ilvl="1">
      <w:start w:val="1"/>
      <w:numFmt w:val="bullet"/>
      <w:lvlText w:val="◦"/>
      <w:lvlJc w:val="left"/>
      <w:pPr>
        <w:ind w:left="1097" w:hanging="360"/>
      </w:pPr>
      <w:rPr/>
    </w:lvl>
    <w:lvl w:ilvl="2">
      <w:start w:val="1"/>
      <w:numFmt w:val="bullet"/>
      <w:lvlText w:val="▪"/>
      <w:lvlJc w:val="left"/>
      <w:pPr>
        <w:ind w:left="1457" w:hanging="360"/>
      </w:pPr>
      <w:rPr/>
    </w:lvl>
    <w:lvl w:ilvl="3">
      <w:start w:val="1"/>
      <w:numFmt w:val="bullet"/>
      <w:lvlText w:val=""/>
      <w:lvlJc w:val="left"/>
      <w:pPr>
        <w:ind w:left="1817" w:hanging="360"/>
      </w:pPr>
      <w:rPr/>
    </w:lvl>
    <w:lvl w:ilvl="4">
      <w:start w:val="1"/>
      <w:numFmt w:val="bullet"/>
      <w:lvlText w:val="◦"/>
      <w:lvlJc w:val="left"/>
      <w:pPr>
        <w:ind w:left="2177" w:hanging="360"/>
      </w:pPr>
      <w:rPr/>
    </w:lvl>
    <w:lvl w:ilvl="5">
      <w:start w:val="1"/>
      <w:numFmt w:val="bullet"/>
      <w:lvlText w:val="▪"/>
      <w:lvlJc w:val="left"/>
      <w:pPr>
        <w:ind w:left="2537" w:hanging="360"/>
      </w:pPr>
      <w:rPr/>
    </w:lvl>
    <w:lvl w:ilvl="6">
      <w:start w:val="1"/>
      <w:numFmt w:val="bullet"/>
      <w:lvlText w:val=""/>
      <w:lvlJc w:val="left"/>
      <w:pPr>
        <w:ind w:left="2897" w:hanging="360"/>
      </w:pPr>
      <w:rPr/>
    </w:lvl>
    <w:lvl w:ilvl="7">
      <w:start w:val="1"/>
      <w:numFmt w:val="bullet"/>
      <w:lvlText w:val="◦"/>
      <w:lvlJc w:val="left"/>
      <w:pPr>
        <w:ind w:left="3257" w:hanging="360"/>
      </w:pPr>
      <w:rPr/>
    </w:lvl>
    <w:lvl w:ilvl="8">
      <w:start w:val="1"/>
      <w:numFmt w:val="bullet"/>
      <w:lvlText w:val="▪"/>
      <w:lvlJc w:val="left"/>
      <w:pPr>
        <w:ind w:left="3617"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55.0" w:type="dxa"/>
        <w:left w:w="40.0" w:type="dxa"/>
        <w:bottom w:w="55.0" w:type="dxa"/>
        <w:right w:w="55.0" w:type="dxa"/>
      </w:tblCellMar>
    </w:tblPr>
  </w:style>
  <w:style w:type="table" w:styleId="Table7">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